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7D3B0A5C" w:rsidR="000A4BDE" w:rsidRDefault="00EA265F" w:rsidP="0020324C">
      <w:pPr>
        <w:pStyle w:val="Title"/>
        <w:rPr>
          <w:rFonts w:ascii="Calibri" w:hAnsi="Calibri"/>
        </w:rPr>
      </w:pPr>
      <w:r>
        <w:rPr>
          <w:rFonts w:ascii="Calibri" w:hAnsi="Calibri"/>
        </w:rPr>
        <w:t>Types of Cyber Attacks</w:t>
      </w:r>
    </w:p>
    <w:p w14:paraId="5E90253B" w14:textId="0C04589D"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EA265F" w:rsidRPr="00EA265F">
        <w:rPr>
          <w:sz w:val="24"/>
          <w:szCs w:val="24"/>
        </w:rPr>
        <w:t>In this learning module, the teachers will learn the different types of cyber attacks on a computer, such as phishing, spear phishing, adware, spyware, ransomware, trojan horse virus, worms, and main-in-th</w:t>
      </w:r>
      <w:r w:rsidR="00EA265F">
        <w:rPr>
          <w:sz w:val="24"/>
          <w:szCs w:val="24"/>
        </w:rPr>
        <w:t>e</w:t>
      </w:r>
      <w:r w:rsidR="00EA265F" w:rsidRPr="00EA265F">
        <w:rPr>
          <w:sz w:val="24"/>
          <w:szCs w:val="24"/>
        </w:rPr>
        <w:t>-middle. A broader focus will be on what types of software would be used to block or prevent these annoyances from occurring</w:t>
      </w:r>
      <w:r w:rsidR="00EA265F">
        <w:rPr>
          <w:sz w:val="24"/>
          <w:szCs w:val="24"/>
        </w:rPr>
        <w:t>.</w:t>
      </w:r>
    </w:p>
    <w:p w14:paraId="550876E6" w14:textId="430E7421"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512C0E" w:rsidRPr="00512C0E">
        <w:rPr>
          <w:sz w:val="24"/>
          <w:szCs w:val="24"/>
        </w:rPr>
        <w:t>How to surf the web and use Google.</w:t>
      </w:r>
    </w:p>
    <w:p w14:paraId="0D4338A3" w14:textId="3F4336D1"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0628BA">
        <w:rPr>
          <w:sz w:val="24"/>
          <w:szCs w:val="24"/>
        </w:rPr>
        <w:t>45</w:t>
      </w:r>
      <w:r w:rsidR="00087237">
        <w:rPr>
          <w:sz w:val="24"/>
          <w:szCs w:val="24"/>
        </w:rPr>
        <w:t xml:space="preserve"> minutes</w:t>
      </w:r>
    </w:p>
    <w:p w14:paraId="124DD6BD" w14:textId="00623B26" w:rsidR="00E6531A" w:rsidRDefault="00E6531A" w:rsidP="00E6531A">
      <w:pPr>
        <w:rPr>
          <w:sz w:val="24"/>
          <w:szCs w:val="24"/>
        </w:rPr>
      </w:pPr>
      <w:r w:rsidRPr="004F59EE">
        <w:rPr>
          <w:rFonts w:asciiTheme="majorHAnsi" w:hAnsiTheme="majorHAnsi"/>
          <w:b/>
          <w:sz w:val="28"/>
          <w:szCs w:val="28"/>
        </w:rPr>
        <w:t xml:space="preserve">Level of Instruction: </w:t>
      </w:r>
      <w:r w:rsidR="00FE50B2">
        <w:rPr>
          <w:sz w:val="24"/>
          <w:szCs w:val="24"/>
        </w:rPr>
        <w:t>All</w:t>
      </w:r>
      <w:r w:rsidR="00087237">
        <w:rPr>
          <w:sz w:val="24"/>
          <w:szCs w:val="24"/>
        </w:rPr>
        <w:t>.</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1A9C30F1" w:rsidR="00505FD9" w:rsidRDefault="00505FD9" w:rsidP="00E6531A">
      <w:pPr>
        <w:rPr>
          <w:sz w:val="24"/>
          <w:szCs w:val="24"/>
        </w:rPr>
      </w:pPr>
      <w:r w:rsidRPr="000628BA">
        <w:rPr>
          <w:b/>
          <w:sz w:val="24"/>
          <w:szCs w:val="24"/>
          <w:u w:val="single"/>
        </w:rPr>
        <w:t>Defense in Depth</w:t>
      </w:r>
      <w:r>
        <w:rPr>
          <w:sz w:val="24"/>
          <w:szCs w:val="24"/>
        </w:rPr>
        <w:tab/>
      </w:r>
      <w:r>
        <w:rPr>
          <w:sz w:val="24"/>
          <w:szCs w:val="24"/>
        </w:rPr>
        <w:tab/>
      </w:r>
      <w:r>
        <w:rPr>
          <w:sz w:val="24"/>
          <w:szCs w:val="24"/>
        </w:rPr>
        <w:tab/>
      </w:r>
      <w:r>
        <w:rPr>
          <w:sz w:val="24"/>
          <w:szCs w:val="24"/>
        </w:rPr>
        <w:tab/>
      </w:r>
      <w:r>
        <w:rPr>
          <w:sz w:val="24"/>
          <w:szCs w:val="24"/>
        </w:rPr>
        <w:tab/>
      </w:r>
      <w:r w:rsidRPr="003577FE">
        <w:rPr>
          <w:sz w:val="24"/>
          <w:szCs w:val="24"/>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5D2E">
        <w:rPr>
          <w:b/>
          <w:sz w:val="24"/>
          <w:szCs w:val="24"/>
          <w:u w:val="single"/>
        </w:rPr>
        <w:t>Think Like an Adversary</w:t>
      </w:r>
    </w:p>
    <w:p w14:paraId="1E00AB85" w14:textId="278263B7" w:rsidR="00505FD9" w:rsidRDefault="00505FD9" w:rsidP="00E6531A">
      <w:pPr>
        <w:rPr>
          <w:sz w:val="24"/>
          <w:szCs w:val="24"/>
        </w:rPr>
      </w:pPr>
      <w:r w:rsidRPr="000628BA">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928C4ED"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FE50B2">
        <w:rPr>
          <w:sz w:val="24"/>
          <w:szCs w:val="24"/>
        </w:rPr>
        <w:t xml:space="preserve">Computer with internet access. </w:t>
      </w:r>
    </w:p>
    <w:p w14:paraId="557C494C" w14:textId="3FFCFE63"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D65D2E" w:rsidRPr="00D65D2E">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17B901A7" w14:textId="3EED490F" w:rsidR="00EA265F" w:rsidRPr="00EA265F" w:rsidRDefault="00EA265F" w:rsidP="00EA265F">
      <w:pPr>
        <w:pStyle w:val="ListParagraph"/>
        <w:numPr>
          <w:ilvl w:val="0"/>
          <w:numId w:val="14"/>
        </w:numPr>
        <w:spacing w:before="0" w:after="0"/>
        <w:rPr>
          <w:sz w:val="24"/>
          <w:szCs w:val="24"/>
        </w:rPr>
      </w:pPr>
      <w:r w:rsidRPr="00EA265F">
        <w:rPr>
          <w:sz w:val="24"/>
          <w:szCs w:val="24"/>
        </w:rPr>
        <w:t xml:space="preserve">Explain the difference between different attacks </w:t>
      </w:r>
    </w:p>
    <w:p w14:paraId="05DC02F8" w14:textId="12FE4016" w:rsidR="00A07179" w:rsidRDefault="00EA265F" w:rsidP="00EA265F">
      <w:pPr>
        <w:pStyle w:val="ListParagraph"/>
        <w:numPr>
          <w:ilvl w:val="0"/>
          <w:numId w:val="14"/>
        </w:numPr>
        <w:spacing w:before="0" w:after="0"/>
      </w:pPr>
      <w:r w:rsidRPr="00EA265F">
        <w:rPr>
          <w:sz w:val="24"/>
          <w:szCs w:val="24"/>
        </w:rPr>
        <w:t>Provide examples of several famous attacks</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58C6A05D"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FE50B2">
        <w:rPr>
          <w:sz w:val="24"/>
          <w:szCs w:val="24"/>
        </w:rPr>
        <w:t>online safety for remainder of the day and for lessons on Friday.</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6768A2BA" w14:textId="166BDD7C" w:rsidR="00C67206" w:rsidRDefault="00C67206" w:rsidP="00074D48">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074D48" w:rsidRPr="00074D48">
        <w:rPr>
          <w:sz w:val="24"/>
          <w:szCs w:val="24"/>
        </w:rPr>
        <w:t>Students can do a google search on “cyber</w:t>
      </w:r>
      <w:r w:rsidR="00965F91">
        <w:rPr>
          <w:sz w:val="24"/>
          <w:szCs w:val="24"/>
        </w:rPr>
        <w:t xml:space="preserve"> attacks</w:t>
      </w:r>
      <w:r w:rsidR="00074D48" w:rsidRPr="00074D48">
        <w:rPr>
          <w:sz w:val="24"/>
          <w:szCs w:val="24"/>
        </w:rPr>
        <w:t>” to find many links to websites</w:t>
      </w:r>
      <w:r w:rsidR="00965F91">
        <w:rPr>
          <w:sz w:val="24"/>
          <w:szCs w:val="24"/>
        </w:rPr>
        <w:t xml:space="preserve"> and TED Talks on the subject.</w:t>
      </w:r>
    </w:p>
    <w:p w14:paraId="54027CA6" w14:textId="77777777" w:rsidR="00074D48" w:rsidRDefault="00074D48" w:rsidP="00074D48">
      <w:pPr>
        <w:spacing w:before="0" w:after="0" w:line="240" w:lineRule="auto"/>
        <w:rPr>
          <w:b/>
          <w:sz w:val="24"/>
          <w:szCs w:val="24"/>
        </w:rPr>
      </w:pPr>
    </w:p>
    <w:p w14:paraId="0EB70680" w14:textId="0C22AB94"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6E2321">
        <w:rPr>
          <w:sz w:val="24"/>
          <w:szCs w:val="24"/>
        </w:rPr>
        <w:t>None</w:t>
      </w:r>
    </w:p>
    <w:p w14:paraId="73C95B0D" w14:textId="77777777" w:rsidR="00C55110" w:rsidRDefault="00C55110" w:rsidP="00EF0449">
      <w:pPr>
        <w:spacing w:before="0" w:after="0" w:line="240" w:lineRule="auto"/>
        <w:rPr>
          <w:b/>
          <w:sz w:val="24"/>
          <w:szCs w:val="24"/>
        </w:rPr>
      </w:pPr>
    </w:p>
    <w:p w14:paraId="48C080A2" w14:textId="19F137C9"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C80C7B">
        <w:rPr>
          <w:caps w:val="0"/>
        </w:rPr>
        <w:t>3.</w:t>
      </w:r>
      <w:r w:rsidR="003577FE">
        <w:rPr>
          <w:caps w:val="0"/>
        </w:rPr>
        <w:t>4</w:t>
      </w:r>
    </w:p>
    <w:p w14:paraId="0A03EADC" w14:textId="77777777" w:rsidR="00A41854" w:rsidRDefault="00A41854" w:rsidP="00EF0449">
      <w:pPr>
        <w:spacing w:before="0" w:after="0" w:line="240" w:lineRule="auto"/>
        <w:rPr>
          <w:b/>
          <w:sz w:val="24"/>
          <w:szCs w:val="24"/>
        </w:rPr>
      </w:pPr>
    </w:p>
    <w:p w14:paraId="406EBB39" w14:textId="528E6AA9" w:rsidR="00EB12DB" w:rsidRPr="00DE4212" w:rsidRDefault="00EB12DB" w:rsidP="00EF0449">
      <w:pPr>
        <w:spacing w:before="0" w:after="0" w:line="240" w:lineRule="auto"/>
        <w:rPr>
          <w:sz w:val="24"/>
          <w:szCs w:val="24"/>
        </w:rPr>
      </w:pPr>
      <w:r>
        <w:rPr>
          <w:b/>
          <w:sz w:val="24"/>
          <w:szCs w:val="24"/>
        </w:rPr>
        <w:t xml:space="preserve">Lesson </w:t>
      </w:r>
      <w:r w:rsidR="00D65D2E">
        <w:rPr>
          <w:b/>
          <w:sz w:val="24"/>
          <w:szCs w:val="24"/>
        </w:rPr>
        <w:t>3.</w:t>
      </w:r>
      <w:r w:rsidR="003577FE">
        <w:rPr>
          <w:b/>
          <w:sz w:val="24"/>
          <w:szCs w:val="24"/>
        </w:rPr>
        <w:t>4</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7ED42A2B" w14:textId="31DB7A62" w:rsidR="0038199A" w:rsidRDefault="001F6AF0" w:rsidP="00074D48">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EA265F" w:rsidRPr="00EA265F">
        <w:rPr>
          <w:sz w:val="24"/>
          <w:szCs w:val="24"/>
        </w:rPr>
        <w:t xml:space="preserve">Instructor asks the teachers about recent attacks in the news. Instructor asks if anyone has ever been affected by an attack. </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077A2611" w14:textId="77777777" w:rsidR="00EA265F" w:rsidRPr="00EA265F" w:rsidRDefault="00EA265F" w:rsidP="00EA265F">
      <w:pPr>
        <w:ind w:left="720"/>
        <w:rPr>
          <w:sz w:val="24"/>
          <w:szCs w:val="24"/>
        </w:rPr>
      </w:pPr>
      <w:r w:rsidRPr="00EA265F">
        <w:rPr>
          <w:sz w:val="24"/>
          <w:szCs w:val="24"/>
        </w:rPr>
        <w:t xml:space="preserve">Instructor will provide examples of famous attacks and teachers will decide which type of attack occurred. This might occur in a lecture format or in a worksheet format. </w:t>
      </w:r>
    </w:p>
    <w:p w14:paraId="74131178" w14:textId="77777777" w:rsidR="00EA265F" w:rsidRPr="00EA265F" w:rsidRDefault="00EA265F" w:rsidP="00EA265F">
      <w:pPr>
        <w:ind w:left="720"/>
        <w:rPr>
          <w:sz w:val="24"/>
          <w:szCs w:val="24"/>
        </w:rPr>
      </w:pPr>
      <w:r w:rsidRPr="00EA265F">
        <w:rPr>
          <w:sz w:val="24"/>
          <w:szCs w:val="24"/>
        </w:rPr>
        <w:t xml:space="preserve">- Describe the Teacher Instruction: </w:t>
      </w:r>
    </w:p>
    <w:p w14:paraId="1A922ABF" w14:textId="3150EEB0" w:rsidR="00EA265F" w:rsidRPr="00EA265F" w:rsidRDefault="00EA265F" w:rsidP="00EA265F">
      <w:pPr>
        <w:ind w:left="720"/>
        <w:rPr>
          <w:sz w:val="24"/>
          <w:szCs w:val="24"/>
        </w:rPr>
      </w:pPr>
      <w:r w:rsidRPr="00EA265F">
        <w:rPr>
          <w:sz w:val="24"/>
          <w:szCs w:val="24"/>
        </w:rPr>
        <w:lastRenderedPageBreak/>
        <w:t xml:space="preserve">10 minutes for warm up, 20 minutes for slides and </w:t>
      </w:r>
      <w:r w:rsidR="003577FE">
        <w:rPr>
          <w:sz w:val="24"/>
          <w:szCs w:val="24"/>
        </w:rPr>
        <w:t>video</w:t>
      </w:r>
      <w:r w:rsidRPr="00EA265F">
        <w:rPr>
          <w:sz w:val="24"/>
          <w:szCs w:val="24"/>
        </w:rPr>
        <w:t>, 10 minutes for exercise, 5 minutes for questions</w:t>
      </w:r>
      <w:r w:rsidR="000628BA">
        <w:rPr>
          <w:sz w:val="24"/>
          <w:szCs w:val="24"/>
        </w:rPr>
        <w:t>.</w:t>
      </w:r>
      <w:r w:rsidRPr="00EA265F">
        <w:rPr>
          <w:sz w:val="24"/>
          <w:szCs w:val="24"/>
        </w:rPr>
        <w:t xml:space="preserve"> The following topics will be discussed: </w:t>
      </w:r>
    </w:p>
    <w:p w14:paraId="747EA87E" w14:textId="520F4548" w:rsidR="00EA265F" w:rsidRPr="00EA265F" w:rsidRDefault="00EA265F" w:rsidP="00EA265F">
      <w:pPr>
        <w:ind w:left="720"/>
        <w:rPr>
          <w:sz w:val="24"/>
          <w:szCs w:val="24"/>
        </w:rPr>
      </w:pPr>
      <w:r w:rsidRPr="00EA265F">
        <w:rPr>
          <w:sz w:val="24"/>
          <w:szCs w:val="24"/>
        </w:rPr>
        <w:t>1. Types of Attacks: phishing, spear phishing, adware, spyware, ransomware</w:t>
      </w:r>
      <w:r w:rsidR="00B67F1A">
        <w:rPr>
          <w:sz w:val="24"/>
          <w:szCs w:val="24"/>
        </w:rPr>
        <w:t>, trojan horse, virus, worm, ma</w:t>
      </w:r>
      <w:r w:rsidRPr="00EA265F">
        <w:rPr>
          <w:sz w:val="24"/>
          <w:szCs w:val="24"/>
        </w:rPr>
        <w:t xml:space="preserve">n-in-the-middle </w:t>
      </w:r>
    </w:p>
    <w:p w14:paraId="270D93AD" w14:textId="50B384E3" w:rsidR="00FE50B2" w:rsidRDefault="00EA265F" w:rsidP="00EA265F">
      <w:pPr>
        <w:ind w:left="720"/>
        <w:rPr>
          <w:sz w:val="24"/>
          <w:szCs w:val="24"/>
        </w:rPr>
      </w:pPr>
      <w:r w:rsidRPr="00EA265F">
        <w:rPr>
          <w:sz w:val="24"/>
          <w:szCs w:val="24"/>
        </w:rPr>
        <w:t xml:space="preserve">2. Famous examples of certain attacks </w:t>
      </w:r>
      <w:r w:rsidR="00B67F1A">
        <w:rPr>
          <w:sz w:val="24"/>
          <w:szCs w:val="24"/>
        </w:rPr>
        <w:t>(Stuxnet)</w:t>
      </w:r>
    </w:p>
    <w:p w14:paraId="431CAB26" w14:textId="77777777" w:rsidR="00965F91" w:rsidRDefault="00965F91" w:rsidP="00EA265F">
      <w:pPr>
        <w:ind w:left="720"/>
        <w:rPr>
          <w:sz w:val="24"/>
          <w:szCs w:val="24"/>
        </w:rPr>
      </w:pPr>
    </w:p>
    <w:p w14:paraId="6F40FF88" w14:textId="77777777" w:rsidR="00965F91" w:rsidRPr="00965F91" w:rsidRDefault="00965F91" w:rsidP="00965F91">
      <w:pPr>
        <w:ind w:left="720"/>
        <w:rPr>
          <w:sz w:val="24"/>
          <w:szCs w:val="24"/>
        </w:rPr>
      </w:pPr>
      <w:r w:rsidRPr="00965F91">
        <w:rPr>
          <w:sz w:val="24"/>
          <w:szCs w:val="24"/>
        </w:rPr>
        <w:t>https://www.mcafee.com/enterprise/en-us/threat-center.html</w:t>
      </w:r>
    </w:p>
    <w:p w14:paraId="2B97F7F2" w14:textId="77777777" w:rsidR="00965F91" w:rsidRPr="00965F91" w:rsidRDefault="00965F91" w:rsidP="00965F91">
      <w:pPr>
        <w:ind w:left="720"/>
        <w:rPr>
          <w:sz w:val="24"/>
          <w:szCs w:val="24"/>
        </w:rPr>
      </w:pPr>
      <w:r w:rsidRPr="00965F91">
        <w:rPr>
          <w:sz w:val="24"/>
          <w:szCs w:val="24"/>
        </w:rPr>
        <w:t>https://www.symantec.com/security-center/threats</w:t>
      </w:r>
    </w:p>
    <w:p w14:paraId="3DDEA71F" w14:textId="000FDC5B" w:rsidR="00965F91" w:rsidRDefault="00965F91" w:rsidP="00965F91">
      <w:pPr>
        <w:ind w:left="720"/>
        <w:rPr>
          <w:sz w:val="24"/>
          <w:szCs w:val="24"/>
        </w:rPr>
      </w:pPr>
      <w:r w:rsidRPr="00965F91">
        <w:rPr>
          <w:sz w:val="24"/>
          <w:szCs w:val="24"/>
        </w:rPr>
        <w:t>https://www.ted.com/talks/mikko_hypponen_fighting_viruses_defending_the_net</w:t>
      </w:r>
    </w:p>
    <w:p w14:paraId="1967BEA9" w14:textId="77777777" w:rsidR="00074D48" w:rsidRDefault="00074D48" w:rsidP="00CF5E92">
      <w:pPr>
        <w:rPr>
          <w:sz w:val="24"/>
          <w:szCs w:val="24"/>
        </w:rPr>
      </w:pPr>
    </w:p>
    <w:p w14:paraId="141705FE" w14:textId="08E19362" w:rsidR="003E5E23" w:rsidRDefault="00386997" w:rsidP="00CF5E92">
      <w:pPr>
        <w:rPr>
          <w:sz w:val="24"/>
          <w:szCs w:val="24"/>
        </w:rPr>
      </w:pPr>
      <w:r>
        <w:rPr>
          <w:sz w:val="24"/>
          <w:szCs w:val="24"/>
        </w:rPr>
        <w:t xml:space="preserve">Acknowledgement: Lesson </w:t>
      </w:r>
      <w:r w:rsidR="00063892">
        <w:rPr>
          <w:sz w:val="24"/>
          <w:szCs w:val="24"/>
        </w:rPr>
        <w:t xml:space="preserve">developed by </w:t>
      </w:r>
      <w:r w:rsidR="003577FE">
        <w:rPr>
          <w:sz w:val="24"/>
          <w:szCs w:val="24"/>
        </w:rPr>
        <w:t xml:space="preserve">Roger Spears and </w:t>
      </w:r>
      <w:bookmarkStart w:id="1" w:name="_GoBack"/>
      <w:bookmarkEnd w:id="1"/>
      <w:r w:rsidR="00063892">
        <w:rPr>
          <w:sz w:val="24"/>
          <w:szCs w:val="24"/>
        </w:rPr>
        <w:t>Tami Norris.</w:t>
      </w:r>
    </w:p>
    <w:sectPr w:rsidR="003E5E23"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511B2BA9" w:rsidR="00A7799E" w:rsidRDefault="00F3628E"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2</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75C79494" w:rsidR="00D40DB9" w:rsidRDefault="00F3628E"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C"/>
    <w:rsid w:val="00001EE4"/>
    <w:rsid w:val="00006B32"/>
    <w:rsid w:val="00010706"/>
    <w:rsid w:val="00036345"/>
    <w:rsid w:val="00040785"/>
    <w:rsid w:val="00040ACB"/>
    <w:rsid w:val="000628BA"/>
    <w:rsid w:val="000637E4"/>
    <w:rsid w:val="00063892"/>
    <w:rsid w:val="000702E4"/>
    <w:rsid w:val="00074D48"/>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577FE"/>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12C0E"/>
    <w:rsid w:val="00542609"/>
    <w:rsid w:val="005627A9"/>
    <w:rsid w:val="005660CE"/>
    <w:rsid w:val="005812A2"/>
    <w:rsid w:val="005B1B27"/>
    <w:rsid w:val="005B7108"/>
    <w:rsid w:val="0063213D"/>
    <w:rsid w:val="00646730"/>
    <w:rsid w:val="006666E0"/>
    <w:rsid w:val="006803E7"/>
    <w:rsid w:val="006872E4"/>
    <w:rsid w:val="00691F1E"/>
    <w:rsid w:val="006D2B47"/>
    <w:rsid w:val="006D3FF5"/>
    <w:rsid w:val="006E2321"/>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65F91"/>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67F1A"/>
    <w:rsid w:val="00B71E53"/>
    <w:rsid w:val="00B73B3A"/>
    <w:rsid w:val="00B92860"/>
    <w:rsid w:val="00B9597F"/>
    <w:rsid w:val="00BA6B8E"/>
    <w:rsid w:val="00BC3835"/>
    <w:rsid w:val="00BD78BB"/>
    <w:rsid w:val="00BF607D"/>
    <w:rsid w:val="00C27DAD"/>
    <w:rsid w:val="00C3548E"/>
    <w:rsid w:val="00C46F45"/>
    <w:rsid w:val="00C55110"/>
    <w:rsid w:val="00C61D47"/>
    <w:rsid w:val="00C65890"/>
    <w:rsid w:val="00C65E6C"/>
    <w:rsid w:val="00C67206"/>
    <w:rsid w:val="00C73A68"/>
    <w:rsid w:val="00C80C7B"/>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65D2E"/>
    <w:rsid w:val="00DB047E"/>
    <w:rsid w:val="00DB7B55"/>
    <w:rsid w:val="00DC0C38"/>
    <w:rsid w:val="00DC54F1"/>
    <w:rsid w:val="00DE418E"/>
    <w:rsid w:val="00DE4212"/>
    <w:rsid w:val="00DF0566"/>
    <w:rsid w:val="00DF2652"/>
    <w:rsid w:val="00E06B27"/>
    <w:rsid w:val="00E14B3B"/>
    <w:rsid w:val="00E26847"/>
    <w:rsid w:val="00E314A3"/>
    <w:rsid w:val="00E34C6D"/>
    <w:rsid w:val="00E421A2"/>
    <w:rsid w:val="00E55F5C"/>
    <w:rsid w:val="00E61161"/>
    <w:rsid w:val="00E649BD"/>
    <w:rsid w:val="00E6531A"/>
    <w:rsid w:val="00E80FE1"/>
    <w:rsid w:val="00EA265F"/>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3628E"/>
    <w:rsid w:val="00F4762C"/>
    <w:rsid w:val="00F54EBD"/>
    <w:rsid w:val="00F554A7"/>
    <w:rsid w:val="00F602E5"/>
    <w:rsid w:val="00F652FA"/>
    <w:rsid w:val="00FB4ABC"/>
    <w:rsid w:val="00FE447B"/>
    <w:rsid w:val="00FE4C99"/>
    <w:rsid w:val="00FE50B2"/>
    <w:rsid w:val="00FE5ABD"/>
    <w:rsid w:val="00FE7029"/>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67C5CA4"/>
  <w15:docId w15:val="{A8B17426-551F-4C0A-823F-8A0CD8F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884831060">
      <w:bodyDiv w:val="1"/>
      <w:marLeft w:val="0"/>
      <w:marRight w:val="0"/>
      <w:marTop w:val="0"/>
      <w:marBottom w:val="0"/>
      <w:divBdr>
        <w:top w:val="none" w:sz="0" w:space="0" w:color="auto"/>
        <w:left w:val="none" w:sz="0" w:space="0" w:color="auto"/>
        <w:bottom w:val="none" w:sz="0" w:space="0" w:color="auto"/>
        <w:right w:val="none" w:sz="0" w:space="0" w:color="auto"/>
      </w:divBdr>
      <w:divsChild>
        <w:div w:id="1435245090">
          <w:marLeft w:val="720"/>
          <w:marRight w:val="0"/>
          <w:marTop w:val="200"/>
          <w:marBottom w:val="0"/>
          <w:divBdr>
            <w:top w:val="none" w:sz="0" w:space="0" w:color="auto"/>
            <w:left w:val="none" w:sz="0" w:space="0" w:color="auto"/>
            <w:bottom w:val="none" w:sz="0" w:space="0" w:color="auto"/>
            <w:right w:val="none" w:sz="0" w:space="0" w:color="auto"/>
          </w:divBdr>
        </w:div>
        <w:div w:id="2015917261">
          <w:marLeft w:val="720"/>
          <w:marRight w:val="0"/>
          <w:marTop w:val="200"/>
          <w:marBottom w:val="0"/>
          <w:divBdr>
            <w:top w:val="none" w:sz="0" w:space="0" w:color="auto"/>
            <w:left w:val="none" w:sz="0" w:space="0" w:color="auto"/>
            <w:bottom w:val="none" w:sz="0" w:space="0" w:color="auto"/>
            <w:right w:val="none" w:sz="0" w:space="0" w:color="auto"/>
          </w:divBdr>
        </w:div>
        <w:div w:id="704212477">
          <w:marLeft w:val="720"/>
          <w:marRight w:val="0"/>
          <w:marTop w:val="200"/>
          <w:marBottom w:val="0"/>
          <w:divBdr>
            <w:top w:val="none" w:sz="0" w:space="0" w:color="auto"/>
            <w:left w:val="none" w:sz="0" w:space="0" w:color="auto"/>
            <w:bottom w:val="none" w:sz="0" w:space="0" w:color="auto"/>
            <w:right w:val="none" w:sz="0" w:space="0" w:color="auto"/>
          </w:divBdr>
        </w:div>
      </w:divsChild>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4857-73CD-4B56-9A57-85D9E5B9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11</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6</cp:revision>
  <cp:lastPrinted>2017-07-27T19:19:00Z</cp:lastPrinted>
  <dcterms:created xsi:type="dcterms:W3CDTF">2019-06-11T01:52:00Z</dcterms:created>
  <dcterms:modified xsi:type="dcterms:W3CDTF">2019-06-11T20:26:00Z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